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3B" w:rsidRDefault="00B4405A" w:rsidP="00B4405A">
      <w:pPr>
        <w:jc w:val="center"/>
        <w:rPr>
          <w:b/>
          <w:sz w:val="36"/>
          <w:szCs w:val="36"/>
        </w:rPr>
      </w:pPr>
      <w:r w:rsidRPr="00B4405A">
        <w:rPr>
          <w:b/>
          <w:sz w:val="36"/>
          <w:szCs w:val="36"/>
        </w:rPr>
        <w:t>Beckworth Weidemann</w:t>
      </w:r>
      <w:bookmarkStart w:id="0" w:name="_GoBack"/>
      <w:bookmarkEnd w:id="0"/>
      <w:r w:rsidRPr="00B4405A">
        <w:rPr>
          <w:b/>
          <w:sz w:val="36"/>
          <w:szCs w:val="36"/>
        </w:rPr>
        <w:t xml:space="preserve"> Syndrome</w:t>
      </w:r>
    </w:p>
    <w:p w:rsidR="00E61AE7" w:rsidRPr="009A43F5" w:rsidRDefault="00E61AE7" w:rsidP="007A031B">
      <w:pPr>
        <w:rPr>
          <w:rStyle w:val="ghr-condition"/>
          <w:rFonts w:cstheme="minorHAnsi"/>
          <w:b/>
          <w:sz w:val="32"/>
          <w:szCs w:val="32"/>
          <w:lang w:val="en"/>
        </w:rPr>
      </w:pPr>
      <w:r w:rsidRPr="009A43F5">
        <w:rPr>
          <w:rStyle w:val="ghr-condition"/>
          <w:rFonts w:cstheme="minorHAnsi"/>
          <w:b/>
          <w:sz w:val="32"/>
          <w:szCs w:val="32"/>
          <w:lang w:val="en"/>
        </w:rPr>
        <w:t>Summary:</w:t>
      </w:r>
    </w:p>
    <w:p w:rsidR="007A031B" w:rsidRPr="009A43F5" w:rsidRDefault="009A43F5" w:rsidP="00E61AE7">
      <w:pPr>
        <w:pStyle w:val="ListParagraph"/>
        <w:numPr>
          <w:ilvl w:val="0"/>
          <w:numId w:val="2"/>
        </w:numPr>
        <w:rPr>
          <w:rFonts w:cstheme="minorHAnsi"/>
          <w:b/>
          <w:sz w:val="32"/>
          <w:szCs w:val="32"/>
        </w:rPr>
      </w:pPr>
      <w:r>
        <w:rPr>
          <w:rStyle w:val="ghr-condition"/>
          <w:rFonts w:cstheme="minorHAnsi"/>
          <w:sz w:val="32"/>
          <w:szCs w:val="32"/>
          <w:lang w:val="en"/>
        </w:rPr>
        <w:t>Beckwith-Wiedemann S</w:t>
      </w:r>
      <w:r w:rsidR="007A031B" w:rsidRPr="009A43F5">
        <w:rPr>
          <w:rStyle w:val="ghr-condition"/>
          <w:rFonts w:cstheme="minorHAnsi"/>
          <w:sz w:val="32"/>
          <w:szCs w:val="32"/>
          <w:lang w:val="en"/>
        </w:rPr>
        <w:t>yndrome</w:t>
      </w:r>
      <w:r w:rsidR="007A031B" w:rsidRPr="009A43F5">
        <w:rPr>
          <w:rFonts w:cstheme="minorHAnsi"/>
          <w:sz w:val="32"/>
          <w:szCs w:val="32"/>
          <w:lang w:val="en"/>
        </w:rPr>
        <w:t xml:space="preserve"> is a condition that</w:t>
      </w:r>
      <w:r>
        <w:rPr>
          <w:rFonts w:cstheme="minorHAnsi"/>
          <w:sz w:val="32"/>
          <w:szCs w:val="32"/>
          <w:lang w:val="en"/>
        </w:rPr>
        <w:t xml:space="preserve"> can affect</w:t>
      </w:r>
      <w:r w:rsidR="007A031B" w:rsidRPr="009A43F5">
        <w:rPr>
          <w:rFonts w:cstheme="minorHAnsi"/>
          <w:sz w:val="32"/>
          <w:szCs w:val="32"/>
          <w:lang w:val="en"/>
        </w:rPr>
        <w:t xml:space="preserve"> many parts of the body. It is classified as an overgrowth syndrome, which means that affected infants are considerably larger than normal (macrosomia) and tend to be taller than their peers during childhood. Growth begins to slow by about age 8, and adults with this condition are not unusually tall.</w:t>
      </w:r>
    </w:p>
    <w:p w:rsidR="00E61AE7" w:rsidRPr="009A43F5" w:rsidRDefault="00E61AE7" w:rsidP="00E61AE7">
      <w:pPr>
        <w:spacing w:before="100" w:beforeAutospacing="1" w:after="100" w:afterAutospacing="1" w:line="240" w:lineRule="auto"/>
        <w:rPr>
          <w:rFonts w:eastAsia="Times New Roman" w:cstheme="minorHAnsi"/>
          <w:b/>
          <w:sz w:val="32"/>
          <w:szCs w:val="32"/>
          <w:lang w:val="en" w:eastAsia="en-GB"/>
        </w:rPr>
      </w:pPr>
      <w:r w:rsidRPr="009A43F5">
        <w:rPr>
          <w:rFonts w:eastAsia="Times New Roman" w:cstheme="minorHAnsi"/>
          <w:b/>
          <w:sz w:val="32"/>
          <w:szCs w:val="32"/>
          <w:lang w:val="en" w:eastAsia="en-GB"/>
        </w:rPr>
        <w:t>Symptoms:</w:t>
      </w:r>
    </w:p>
    <w:p w:rsidR="00274908" w:rsidRPr="00274908" w:rsidRDefault="00274908"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274908">
        <w:rPr>
          <w:rFonts w:eastAsia="Times New Roman" w:cstheme="minorHAnsi"/>
          <w:sz w:val="32"/>
          <w:szCs w:val="32"/>
          <w:lang w:val="en" w:eastAsia="en-GB"/>
        </w:rPr>
        <w:t>Increased height and weight at birth or in childhood.</w:t>
      </w:r>
    </w:p>
    <w:p w:rsidR="00274908" w:rsidRPr="00274908" w:rsidRDefault="00274908"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274908">
        <w:rPr>
          <w:rFonts w:eastAsia="Times New Roman" w:cstheme="minorHAnsi"/>
          <w:sz w:val="32"/>
          <w:szCs w:val="32"/>
          <w:lang w:val="en" w:eastAsia="en-GB"/>
        </w:rPr>
        <w:t>Asymmetry of growth, for example one arm or leg larger than the other (hemihypertrophy).</w:t>
      </w:r>
    </w:p>
    <w:p w:rsidR="00274908" w:rsidRPr="00274908" w:rsidRDefault="00274908"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274908">
        <w:rPr>
          <w:rFonts w:eastAsia="Times New Roman" w:cstheme="minorHAnsi"/>
          <w:sz w:val="32"/>
          <w:szCs w:val="32"/>
          <w:lang w:val="en" w:eastAsia="en-GB"/>
        </w:rPr>
        <w:t>Large tongue size (macroglossia).</w:t>
      </w:r>
    </w:p>
    <w:p w:rsidR="00274908" w:rsidRPr="009A43F5" w:rsidRDefault="00274908"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274908">
        <w:rPr>
          <w:rFonts w:eastAsia="Times New Roman" w:cstheme="minorHAnsi"/>
          <w:sz w:val="32"/>
          <w:szCs w:val="32"/>
          <w:lang w:val="en" w:eastAsia="en-GB"/>
        </w:rPr>
        <w:t>Some children with the condition are at risk of Wilms' tumour of the kidney.</w:t>
      </w:r>
    </w:p>
    <w:p w:rsidR="00E61AE7" w:rsidRPr="009A43F5" w:rsidRDefault="00E61AE7"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9A43F5">
        <w:rPr>
          <w:rFonts w:eastAsia="Times New Roman" w:cstheme="minorHAnsi"/>
          <w:sz w:val="32"/>
          <w:szCs w:val="32"/>
          <w:lang w:val="en" w:eastAsia="en-GB"/>
        </w:rPr>
        <w:t>Subtle alterations in ear shape</w:t>
      </w:r>
    </w:p>
    <w:p w:rsidR="00E61AE7" w:rsidRPr="009A43F5" w:rsidRDefault="00E61AE7"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9A43F5">
        <w:rPr>
          <w:rFonts w:eastAsia="Times New Roman" w:cstheme="minorHAnsi"/>
          <w:sz w:val="32"/>
          <w:szCs w:val="32"/>
          <w:lang w:val="en" w:eastAsia="en-GB"/>
        </w:rPr>
        <w:t>Cleft palate</w:t>
      </w:r>
    </w:p>
    <w:p w:rsidR="00E61AE7" w:rsidRPr="009A43F5" w:rsidRDefault="00E61AE7"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9A43F5">
        <w:rPr>
          <w:rFonts w:eastAsia="Times New Roman" w:cstheme="minorHAnsi"/>
          <w:sz w:val="32"/>
          <w:szCs w:val="32"/>
          <w:lang w:val="en" w:eastAsia="en-GB"/>
        </w:rPr>
        <w:t>Congenital heart defect</w:t>
      </w:r>
    </w:p>
    <w:p w:rsidR="00E61AE7" w:rsidRDefault="00E61AE7" w:rsidP="00274908">
      <w:pPr>
        <w:numPr>
          <w:ilvl w:val="0"/>
          <w:numId w:val="1"/>
        </w:numPr>
        <w:spacing w:before="100" w:beforeAutospacing="1" w:after="100" w:afterAutospacing="1" w:line="240" w:lineRule="auto"/>
        <w:rPr>
          <w:rFonts w:eastAsia="Times New Roman" w:cstheme="minorHAnsi"/>
          <w:sz w:val="32"/>
          <w:szCs w:val="32"/>
          <w:lang w:val="en" w:eastAsia="en-GB"/>
        </w:rPr>
      </w:pPr>
      <w:r w:rsidRPr="009A43F5">
        <w:rPr>
          <w:rFonts w:eastAsia="Times New Roman" w:cstheme="minorHAnsi"/>
          <w:sz w:val="32"/>
          <w:szCs w:val="32"/>
          <w:lang w:val="en" w:eastAsia="en-GB"/>
        </w:rPr>
        <w:t>Learning differences are NOT usually part of the syndrome</w:t>
      </w:r>
    </w:p>
    <w:p w:rsidR="00233004" w:rsidRDefault="00233004" w:rsidP="00233004">
      <w:pPr>
        <w:spacing w:before="100" w:beforeAutospacing="1" w:after="100" w:afterAutospacing="1" w:line="240" w:lineRule="auto"/>
        <w:rPr>
          <w:rFonts w:eastAsia="Times New Roman" w:cstheme="minorHAnsi"/>
          <w:b/>
          <w:sz w:val="32"/>
          <w:szCs w:val="32"/>
          <w:lang w:val="en" w:eastAsia="en-GB"/>
        </w:rPr>
      </w:pPr>
      <w:r w:rsidRPr="00233004">
        <w:rPr>
          <w:rFonts w:eastAsia="Times New Roman" w:cstheme="minorHAnsi"/>
          <w:b/>
          <w:sz w:val="32"/>
          <w:szCs w:val="32"/>
          <w:lang w:val="en" w:eastAsia="en-GB"/>
        </w:rPr>
        <w:t>Strategies:</w:t>
      </w:r>
    </w:p>
    <w:p w:rsidR="00DA5D88" w:rsidRPr="00DA5D88" w:rsidRDefault="00DA5D88" w:rsidP="00DA5D88">
      <w:pPr>
        <w:pStyle w:val="ListParagraph"/>
        <w:numPr>
          <w:ilvl w:val="0"/>
          <w:numId w:val="2"/>
        </w:numPr>
        <w:spacing w:before="100" w:beforeAutospacing="1" w:after="100" w:afterAutospacing="1" w:line="240" w:lineRule="auto"/>
        <w:rPr>
          <w:rFonts w:eastAsia="Times New Roman" w:cstheme="minorHAnsi"/>
          <w:sz w:val="32"/>
          <w:szCs w:val="32"/>
          <w:lang w:val="en" w:eastAsia="en-GB"/>
        </w:rPr>
      </w:pPr>
      <w:r w:rsidRPr="00DA5D88">
        <w:rPr>
          <w:rFonts w:eastAsia="Times New Roman" w:cstheme="minorHAnsi"/>
          <w:sz w:val="32"/>
          <w:szCs w:val="32"/>
          <w:lang w:val="en" w:eastAsia="en-GB"/>
        </w:rPr>
        <w:t xml:space="preserve">Will </w:t>
      </w:r>
      <w:r>
        <w:rPr>
          <w:rFonts w:eastAsia="Times New Roman" w:cstheme="minorHAnsi"/>
          <w:sz w:val="32"/>
          <w:szCs w:val="32"/>
          <w:lang w:val="en" w:eastAsia="en-GB"/>
        </w:rPr>
        <w:t>depend on individual student’s symptoms</w:t>
      </w:r>
    </w:p>
    <w:p w:rsidR="0090241B" w:rsidRDefault="00DA5D88" w:rsidP="0090241B">
      <w:pPr>
        <w:pStyle w:val="ListParagraph"/>
        <w:numPr>
          <w:ilvl w:val="0"/>
          <w:numId w:val="2"/>
        </w:numPr>
        <w:spacing w:before="100" w:beforeAutospacing="1" w:after="100" w:afterAutospacing="1" w:line="240" w:lineRule="auto"/>
        <w:rPr>
          <w:rFonts w:eastAsia="Times New Roman" w:cstheme="minorHAnsi"/>
          <w:sz w:val="32"/>
          <w:szCs w:val="32"/>
          <w:lang w:val="en" w:eastAsia="en-GB"/>
        </w:rPr>
      </w:pPr>
      <w:r w:rsidRPr="00DA5D88">
        <w:rPr>
          <w:rFonts w:eastAsia="Times New Roman" w:cstheme="minorHAnsi"/>
          <w:sz w:val="32"/>
          <w:szCs w:val="32"/>
          <w:lang w:val="en" w:eastAsia="en-GB"/>
        </w:rPr>
        <w:t xml:space="preserve">Consult individual </w:t>
      </w:r>
      <w:r>
        <w:rPr>
          <w:rFonts w:eastAsia="Times New Roman" w:cstheme="minorHAnsi"/>
          <w:sz w:val="32"/>
          <w:szCs w:val="32"/>
          <w:lang w:val="en" w:eastAsia="en-GB"/>
        </w:rPr>
        <w:t xml:space="preserve">student’s </w:t>
      </w:r>
      <w:r w:rsidRPr="00DA5D88">
        <w:rPr>
          <w:rFonts w:eastAsia="Times New Roman" w:cstheme="minorHAnsi"/>
          <w:sz w:val="32"/>
          <w:szCs w:val="32"/>
          <w:lang w:val="en" w:eastAsia="en-GB"/>
        </w:rPr>
        <w:t>Medical Management Plan</w:t>
      </w:r>
    </w:p>
    <w:p w:rsidR="00DA5D88" w:rsidRDefault="00DA5D88" w:rsidP="0090241B">
      <w:pPr>
        <w:pStyle w:val="ListParagraph"/>
        <w:numPr>
          <w:ilvl w:val="0"/>
          <w:numId w:val="2"/>
        </w:numPr>
        <w:spacing w:before="100" w:beforeAutospacing="1" w:after="100" w:afterAutospacing="1" w:line="240" w:lineRule="auto"/>
        <w:rPr>
          <w:rFonts w:eastAsia="Times New Roman" w:cstheme="minorHAnsi"/>
          <w:sz w:val="32"/>
          <w:szCs w:val="32"/>
          <w:lang w:val="en" w:eastAsia="en-GB"/>
        </w:rPr>
      </w:pPr>
      <w:r>
        <w:rPr>
          <w:rFonts w:eastAsia="Times New Roman" w:cstheme="minorHAnsi"/>
          <w:sz w:val="32"/>
          <w:szCs w:val="32"/>
          <w:lang w:val="en" w:eastAsia="en-GB"/>
        </w:rPr>
        <w:t>Call first aider if in any doubt.</w:t>
      </w:r>
    </w:p>
    <w:p w:rsidR="00C42EC4" w:rsidRPr="00C42EC4" w:rsidRDefault="00161712" w:rsidP="00C42EC4">
      <w:pPr>
        <w:spacing w:before="100" w:beforeAutospacing="1" w:after="100" w:afterAutospacing="1" w:line="240" w:lineRule="auto"/>
        <w:rPr>
          <w:rFonts w:eastAsia="Times New Roman" w:cstheme="minorHAnsi"/>
          <w:sz w:val="32"/>
          <w:szCs w:val="32"/>
          <w:lang w:val="en" w:eastAsia="en-GB"/>
        </w:rPr>
      </w:pPr>
      <w:hyperlink r:id="rId5" w:history="1">
        <w:r w:rsidR="00C42EC4" w:rsidRPr="001E6E69">
          <w:rPr>
            <w:rStyle w:val="Hyperlink"/>
            <w:rFonts w:eastAsia="Times New Roman" w:cstheme="minorHAnsi"/>
            <w:sz w:val="32"/>
            <w:szCs w:val="32"/>
            <w:lang w:val="en" w:eastAsia="en-GB"/>
          </w:rPr>
          <w:t>https://www.gosh.nhs.uk/conditions-and-treatments/conditions-we-treat/beckwith-wiedemann-syndrome-bws</w:t>
        </w:r>
      </w:hyperlink>
      <w:r w:rsidR="00C42EC4">
        <w:rPr>
          <w:rFonts w:eastAsia="Times New Roman" w:cstheme="minorHAnsi"/>
          <w:sz w:val="32"/>
          <w:szCs w:val="32"/>
          <w:lang w:val="en" w:eastAsia="en-GB"/>
        </w:rPr>
        <w:t xml:space="preserve"> </w:t>
      </w:r>
    </w:p>
    <w:p w:rsidR="00B4405A" w:rsidRPr="00B4405A" w:rsidRDefault="00B4405A" w:rsidP="00B4405A">
      <w:pPr>
        <w:rPr>
          <w:sz w:val="28"/>
          <w:szCs w:val="28"/>
        </w:rPr>
      </w:pPr>
    </w:p>
    <w:sectPr w:rsidR="00B4405A" w:rsidRPr="00B4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4BA"/>
    <w:multiLevelType w:val="multilevel"/>
    <w:tmpl w:val="5FE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B70DE"/>
    <w:multiLevelType w:val="hybridMultilevel"/>
    <w:tmpl w:val="E7C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5A"/>
    <w:rsid w:val="000A7BBD"/>
    <w:rsid w:val="00161712"/>
    <w:rsid w:val="00233004"/>
    <w:rsid w:val="00274908"/>
    <w:rsid w:val="007A031B"/>
    <w:rsid w:val="007E5326"/>
    <w:rsid w:val="0090241B"/>
    <w:rsid w:val="009A43F5"/>
    <w:rsid w:val="00B4405A"/>
    <w:rsid w:val="00C42EC4"/>
    <w:rsid w:val="00DA5D88"/>
    <w:rsid w:val="00E61AE7"/>
    <w:rsid w:val="00F8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FBC1C-B13E-4092-A914-FC2DBF1B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r-condition">
    <w:name w:val="ghr-condition"/>
    <w:basedOn w:val="DefaultParagraphFont"/>
    <w:rsid w:val="007A031B"/>
  </w:style>
  <w:style w:type="paragraph" w:styleId="ListParagraph">
    <w:name w:val="List Paragraph"/>
    <w:basedOn w:val="Normal"/>
    <w:uiPriority w:val="34"/>
    <w:qFormat/>
    <w:rsid w:val="00E61AE7"/>
    <w:pPr>
      <w:ind w:left="720"/>
      <w:contextualSpacing/>
    </w:pPr>
  </w:style>
  <w:style w:type="character" w:styleId="Hyperlink">
    <w:name w:val="Hyperlink"/>
    <w:basedOn w:val="DefaultParagraphFont"/>
    <w:uiPriority w:val="99"/>
    <w:unhideWhenUsed/>
    <w:rsid w:val="00C42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28367">
      <w:bodyDiv w:val="1"/>
      <w:marLeft w:val="0"/>
      <w:marRight w:val="0"/>
      <w:marTop w:val="0"/>
      <w:marBottom w:val="0"/>
      <w:divBdr>
        <w:top w:val="none" w:sz="0" w:space="0" w:color="auto"/>
        <w:left w:val="none" w:sz="0" w:space="0" w:color="auto"/>
        <w:bottom w:val="none" w:sz="0" w:space="0" w:color="auto"/>
        <w:right w:val="none" w:sz="0" w:space="0" w:color="auto"/>
      </w:divBdr>
      <w:divsChild>
        <w:div w:id="320426703">
          <w:marLeft w:val="0"/>
          <w:marRight w:val="0"/>
          <w:marTop w:val="0"/>
          <w:marBottom w:val="0"/>
          <w:divBdr>
            <w:top w:val="none" w:sz="0" w:space="0" w:color="auto"/>
            <w:left w:val="none" w:sz="0" w:space="0" w:color="auto"/>
            <w:bottom w:val="none" w:sz="0" w:space="0" w:color="auto"/>
            <w:right w:val="none" w:sz="0" w:space="0" w:color="auto"/>
          </w:divBdr>
          <w:divsChild>
            <w:div w:id="1895197510">
              <w:marLeft w:val="0"/>
              <w:marRight w:val="0"/>
              <w:marTop w:val="0"/>
              <w:marBottom w:val="0"/>
              <w:divBdr>
                <w:top w:val="none" w:sz="0" w:space="0" w:color="auto"/>
                <w:left w:val="none" w:sz="0" w:space="0" w:color="auto"/>
                <w:bottom w:val="none" w:sz="0" w:space="0" w:color="auto"/>
                <w:right w:val="none" w:sz="0" w:space="0" w:color="auto"/>
              </w:divBdr>
              <w:divsChild>
                <w:div w:id="79134094">
                  <w:marLeft w:val="0"/>
                  <w:marRight w:val="0"/>
                  <w:marTop w:val="0"/>
                  <w:marBottom w:val="0"/>
                  <w:divBdr>
                    <w:top w:val="none" w:sz="0" w:space="0" w:color="auto"/>
                    <w:left w:val="none" w:sz="0" w:space="0" w:color="auto"/>
                    <w:bottom w:val="none" w:sz="0" w:space="0" w:color="auto"/>
                    <w:right w:val="none" w:sz="0" w:space="0" w:color="auto"/>
                  </w:divBdr>
                  <w:divsChild>
                    <w:div w:id="373769878">
                      <w:marLeft w:val="0"/>
                      <w:marRight w:val="0"/>
                      <w:marTop w:val="0"/>
                      <w:marBottom w:val="0"/>
                      <w:divBdr>
                        <w:top w:val="none" w:sz="0" w:space="0" w:color="auto"/>
                        <w:left w:val="none" w:sz="0" w:space="0" w:color="auto"/>
                        <w:bottom w:val="none" w:sz="0" w:space="0" w:color="auto"/>
                        <w:right w:val="none" w:sz="0" w:space="0" w:color="auto"/>
                      </w:divBdr>
                      <w:divsChild>
                        <w:div w:id="2084836060">
                          <w:marLeft w:val="0"/>
                          <w:marRight w:val="0"/>
                          <w:marTop w:val="0"/>
                          <w:marBottom w:val="0"/>
                          <w:divBdr>
                            <w:top w:val="none" w:sz="0" w:space="0" w:color="auto"/>
                            <w:left w:val="none" w:sz="0" w:space="0" w:color="auto"/>
                            <w:bottom w:val="none" w:sz="0" w:space="0" w:color="auto"/>
                            <w:right w:val="none" w:sz="0" w:space="0" w:color="auto"/>
                          </w:divBdr>
                          <w:divsChild>
                            <w:div w:id="507714985">
                              <w:marLeft w:val="0"/>
                              <w:marRight w:val="0"/>
                              <w:marTop w:val="0"/>
                              <w:marBottom w:val="0"/>
                              <w:divBdr>
                                <w:top w:val="none" w:sz="0" w:space="0" w:color="auto"/>
                                <w:left w:val="none" w:sz="0" w:space="0" w:color="auto"/>
                                <w:bottom w:val="none" w:sz="0" w:space="0" w:color="auto"/>
                                <w:right w:val="none" w:sz="0" w:space="0" w:color="auto"/>
                              </w:divBdr>
                              <w:divsChild>
                                <w:div w:id="19173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h.nhs.uk/conditions-and-treatments/conditions-we-treat/beckwith-wiedemann-syndrome-b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Hannan</dc:creator>
  <cp:keywords/>
  <dc:description/>
  <cp:lastModifiedBy>Lynne Hannan</cp:lastModifiedBy>
  <cp:revision>9</cp:revision>
  <dcterms:created xsi:type="dcterms:W3CDTF">2019-07-01T14:43:00Z</dcterms:created>
  <dcterms:modified xsi:type="dcterms:W3CDTF">2019-07-10T11:15:00Z</dcterms:modified>
</cp:coreProperties>
</file>