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988" w:rsidRDefault="00FE3BAA">
      <w:r>
        <w:t>Dyslexia Friendly Guide</w:t>
      </w:r>
      <w:r w:rsidR="00025260">
        <w:t xml:space="preserve"> for the Classroom</w:t>
      </w:r>
      <w:bookmarkStart w:id="0" w:name="_GoBack"/>
      <w:bookmarkEnd w:id="0"/>
      <w:r>
        <w:t>: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the teaching multi-sensory?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the pace of work differentiated?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the assessment of learning outcomes varied?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Has the dyslexic learners preferred learning styles been taken into account?</w:t>
      </w:r>
      <w:r w:rsidR="00025260">
        <w:t xml:space="preserve"> We remember best when we combine saying; reading; hearing; doing… use a multi-sensory approach*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Are study/ memory skills included in the daily activities?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Are worksheets in large type and well spaced, with visuals and short sentences?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non-white paper being used?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the layout of desks helpful: for concentration and minimal distraction?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Are learners encouraged to word process their work?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Are lessons well planned? Is there an overview?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the lesson broken up, to minimise fatigue?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Are oral instructions kept short?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Are there opportunities for learners to reflect?</w:t>
      </w:r>
    </w:p>
    <w:p w:rsidR="00FE3BAA" w:rsidRDefault="00FE3BAA" w:rsidP="00FE3BAA">
      <w:pPr>
        <w:pStyle w:val="ListParagraph"/>
        <w:numPr>
          <w:ilvl w:val="0"/>
          <w:numId w:val="1"/>
        </w:numPr>
      </w:pPr>
      <w:r>
        <w:t>Is the environment as stress free as possible?</w:t>
      </w:r>
    </w:p>
    <w:p w:rsidR="00025260" w:rsidRDefault="00025260" w:rsidP="00025260"/>
    <w:p w:rsidR="00025260" w:rsidRDefault="00025260" w:rsidP="00025260"/>
    <w:p w:rsidR="00025260" w:rsidRDefault="00025260" w:rsidP="00025260">
      <w:r>
        <w:t>* Based on research by Edgar Dale (1946/1969); Howard Gardner (1983); Gerald Edelman (1987); Bloom (1956)</w:t>
      </w:r>
    </w:p>
    <w:sectPr w:rsidR="00025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5255E"/>
    <w:multiLevelType w:val="hybridMultilevel"/>
    <w:tmpl w:val="7BA25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AA"/>
    <w:rsid w:val="00025260"/>
    <w:rsid w:val="00615842"/>
    <w:rsid w:val="00DE3CDB"/>
    <w:rsid w:val="00FE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151B"/>
  <w15:chartTrackingRefBased/>
  <w15:docId w15:val="{00BE8870-176A-49CE-8B5B-2293CF07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Martin</dc:creator>
  <cp:keywords/>
  <dc:description/>
  <cp:lastModifiedBy>Jane Martin</cp:lastModifiedBy>
  <cp:revision>2</cp:revision>
  <dcterms:created xsi:type="dcterms:W3CDTF">2017-11-24T15:06:00Z</dcterms:created>
  <dcterms:modified xsi:type="dcterms:W3CDTF">2019-09-18T13:48:00Z</dcterms:modified>
</cp:coreProperties>
</file>